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2" w:type="dxa"/>
        <w:tblLayout w:type="fixed"/>
        <w:tblCellMar>
          <w:left w:w="10" w:type="dxa"/>
          <w:right w:w="10" w:type="dxa"/>
        </w:tblCellMar>
        <w:tblLook w:val="0000" w:firstRow="0" w:lastRow="0" w:firstColumn="0" w:lastColumn="0" w:noHBand="0" w:noVBand="0"/>
      </w:tblPr>
      <w:tblGrid>
        <w:gridCol w:w="8095"/>
        <w:gridCol w:w="1657"/>
      </w:tblGrid>
      <w:tr>
        <w:tc>
          <w:tcPr>
            <w:tcW w:w="809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pPr>
              <w:spacing w:before="57"/>
              <w:jc w:val="center"/>
              <w:rPr>
                <w:rFonts w:ascii="Marianne" w:eastAsia="Times New Roman" w:hAnsi="Marianne" w:cs="Arial"/>
                <w:b/>
                <w:bCs/>
                <w:sz w:val="28"/>
                <w:szCs w:val="28"/>
                <w:lang w:eastAsia="fr-FR"/>
              </w:rPr>
            </w:pPr>
            <w:bookmarkStart w:id="0" w:name="_Hlk192682901"/>
            <w:r>
              <w:rPr>
                <w:rFonts w:ascii="Marianne" w:eastAsia="Times New Roman" w:hAnsi="Marianne" w:cs="Arial"/>
                <w:b/>
                <w:bCs/>
                <w:sz w:val="28"/>
                <w:szCs w:val="28"/>
                <w:lang w:eastAsia="fr-FR"/>
              </w:rPr>
              <w:t>ACCORD-CADRE PORTANT SUR DES PRESTATIONS DE MAINTENANCE DES EQUIPEMENTS ET MOYENS DE LUTTE CONTRE L’INCENDIE</w:t>
            </w:r>
          </w:p>
          <w:bookmarkEnd w:id="0"/>
          <w:p>
            <w:pPr>
              <w:spacing w:before="57"/>
              <w:jc w:val="center"/>
              <w:rPr>
                <w:rFonts w:ascii="Marianne" w:eastAsia="Times New Roman" w:hAnsi="Marianne" w:cs="Arial"/>
                <w:b/>
                <w:bCs/>
                <w:sz w:val="28"/>
                <w:szCs w:val="28"/>
                <w:lang w:eastAsia="fr-FR"/>
              </w:rPr>
            </w:pPr>
          </w:p>
          <w:p>
            <w:pPr>
              <w:spacing w:before="57"/>
              <w:jc w:val="center"/>
              <w:rPr>
                <w:rFonts w:ascii="Marianne" w:eastAsia="Times New Roman" w:hAnsi="Marianne" w:cs="Arial"/>
                <w:b/>
                <w:bCs/>
                <w:sz w:val="28"/>
                <w:szCs w:val="28"/>
                <w:lang w:eastAsia="fr-FR"/>
              </w:rPr>
            </w:pPr>
            <w:r>
              <w:rPr>
                <w:rFonts w:ascii="Marianne" w:eastAsia="Times New Roman" w:hAnsi="Marianne" w:cs="Arial"/>
                <w:b/>
                <w:bCs/>
                <w:sz w:val="28"/>
                <w:szCs w:val="28"/>
                <w:lang w:eastAsia="fr-FR"/>
              </w:rPr>
              <w:t>AU PROFIT DES SERVICES DE L'ÉTAT ET DE CERTAINS ÉTABLISSEMENTS PUBLICS EN REGION ILE-DE-FRANCE</w:t>
            </w:r>
          </w:p>
          <w:p>
            <w:pPr>
              <w:pStyle w:val="TableContents"/>
              <w:jc w:val="center"/>
              <w:rPr>
                <w:rFonts w:ascii="Marianne" w:hAnsi="Marianne"/>
              </w:rPr>
            </w:pPr>
          </w:p>
          <w:p>
            <w:pPr>
              <w:pStyle w:val="TableContents"/>
              <w:jc w:val="center"/>
              <w:rPr>
                <w:rFonts w:ascii="Marianne" w:hAnsi="Marianne"/>
                <w:b/>
                <w:bCs/>
                <w:sz w:val="28"/>
                <w:szCs w:val="28"/>
              </w:rPr>
            </w:pPr>
            <w:r>
              <w:rPr>
                <w:rFonts w:ascii="Marianne" w:hAnsi="Marianne"/>
                <w:b/>
                <w:bCs/>
                <w:sz w:val="28"/>
                <w:szCs w:val="28"/>
              </w:rPr>
              <w:t>« Annexe 5 : Ordre de préférence d’attribution des lots »</w:t>
            </w:r>
          </w:p>
          <w:p>
            <w:pPr>
              <w:pStyle w:val="Standard"/>
              <w:jc w:val="center"/>
              <w:rPr>
                <w:rFonts w:ascii="Marianne" w:hAnsi="Marianne"/>
                <w:b/>
                <w:bCs/>
                <w:color w:val="FF0000"/>
              </w:rPr>
            </w:pPr>
            <w:r>
              <w:rPr>
                <w:rFonts w:ascii="Marianne" w:hAnsi="Marianne"/>
                <w:b/>
                <w:bCs/>
                <w:color w:val="FF0000"/>
              </w:rPr>
              <w:t>A remplir par le candidat et à joindre à l’offre</w:t>
            </w:r>
          </w:p>
        </w:tc>
        <w:tc>
          <w:tcPr>
            <w:tcW w:w="1657" w:type="dxa"/>
            <w:tcBorders>
              <w:top w:val="single" w:sz="2" w:space="0" w:color="000000"/>
              <w:left w:val="single" w:sz="2" w:space="0" w:color="000000"/>
              <w:bottom w:val="single" w:sz="2" w:space="0" w:color="000000"/>
              <w:right w:val="single" w:sz="2" w:space="0" w:color="000000"/>
            </w:tcBorders>
            <w:shd w:val="clear" w:color="auto" w:fill="000000"/>
            <w:tcMar>
              <w:top w:w="55" w:type="dxa"/>
              <w:left w:w="55" w:type="dxa"/>
              <w:bottom w:w="55" w:type="dxa"/>
              <w:right w:w="55" w:type="dxa"/>
            </w:tcMar>
          </w:tcPr>
          <w:p>
            <w:pPr>
              <w:pStyle w:val="TableContents"/>
              <w:jc w:val="center"/>
              <w:rPr>
                <w:rFonts w:ascii="Marianne" w:hAnsi="Marianne"/>
                <w:b/>
                <w:bCs/>
                <w:sz w:val="36"/>
                <w:szCs w:val="36"/>
              </w:rPr>
            </w:pPr>
            <w:r>
              <w:rPr>
                <w:rFonts w:ascii="Marianne" w:hAnsi="Marianne"/>
                <w:b/>
                <w:bCs/>
                <w:sz w:val="36"/>
                <w:szCs w:val="36"/>
              </w:rPr>
              <w:t>Annexe 5</w:t>
            </w:r>
          </w:p>
          <w:p>
            <w:pPr>
              <w:pStyle w:val="TableContents"/>
              <w:jc w:val="center"/>
              <w:rPr>
                <w:rFonts w:ascii="Marianne" w:hAnsi="Marianne"/>
                <w:b/>
                <w:bCs/>
                <w:sz w:val="36"/>
                <w:szCs w:val="36"/>
              </w:rPr>
            </w:pPr>
            <w:r>
              <w:rPr>
                <w:rFonts w:ascii="Marianne" w:hAnsi="Marianne"/>
                <w:b/>
                <w:bCs/>
                <w:sz w:val="36"/>
                <w:szCs w:val="36"/>
              </w:rPr>
              <w:t>au RC</w:t>
            </w:r>
          </w:p>
        </w:tc>
      </w:tr>
    </w:tbl>
    <w:p>
      <w:pPr>
        <w:pStyle w:val="Standard"/>
        <w:jc w:val="center"/>
        <w:rPr>
          <w:rFonts w:ascii="Marianne" w:hAnsi="Marianne"/>
          <w:b/>
          <w:bCs/>
          <w:u w:val="single"/>
        </w:rPr>
      </w:pPr>
    </w:p>
    <w:p>
      <w:pPr>
        <w:pStyle w:val="Standard"/>
        <w:rPr>
          <w:rFonts w:ascii="Marianne" w:hAnsi="Marianne"/>
          <w:b/>
          <w:bCs/>
          <w:u w:val="single"/>
        </w:rPr>
      </w:pPr>
      <w:r>
        <w:rPr>
          <w:rFonts w:ascii="Marianne" w:hAnsi="Marianne"/>
          <w:b/>
          <w:bCs/>
          <w:u w:val="single"/>
        </w:rPr>
        <w:t>Rappel du système :</w:t>
      </w:r>
    </w:p>
    <w:p>
      <w:pPr>
        <w:pStyle w:val="Standard"/>
        <w:rPr>
          <w:rFonts w:ascii="Marianne" w:hAnsi="Marianne"/>
        </w:rPr>
      </w:pPr>
    </w:p>
    <w:p>
      <w:pPr>
        <w:pStyle w:val="Standard"/>
        <w:jc w:val="both"/>
        <w:rPr>
          <w:rFonts w:ascii="Marianne" w:hAnsi="Marianne"/>
          <w:b/>
          <w:sz w:val="20"/>
          <w:szCs w:val="20"/>
          <w:lang w:eastAsia="fr-FR"/>
        </w:rPr>
      </w:pPr>
      <w:r>
        <w:rPr>
          <w:rFonts w:ascii="Marianne" w:hAnsi="Marianne"/>
          <w:b/>
          <w:sz w:val="20"/>
          <w:szCs w:val="20"/>
          <w:lang w:eastAsia="fr-FR"/>
        </w:rPr>
        <w:t>Les soumissionnaires sont libres de présenter une offre pour chacun des 10 lots.</w:t>
      </w:r>
    </w:p>
    <w:p>
      <w:pPr>
        <w:pStyle w:val="Standard"/>
        <w:jc w:val="both"/>
        <w:rPr>
          <w:rFonts w:ascii="Marianne" w:hAnsi="Marianne"/>
          <w:sz w:val="20"/>
          <w:szCs w:val="20"/>
          <w:lang w:eastAsia="fr-FR"/>
        </w:rPr>
      </w:pPr>
    </w:p>
    <w:p>
      <w:pPr>
        <w:pStyle w:val="Standard"/>
        <w:jc w:val="both"/>
        <w:rPr>
          <w:rFonts w:ascii="Marianne" w:hAnsi="Marianne"/>
        </w:rPr>
      </w:pPr>
      <w:r>
        <w:rPr>
          <w:rFonts w:ascii="Marianne" w:hAnsi="Marianne"/>
          <w:sz w:val="20"/>
          <w:szCs w:val="20"/>
          <w:lang w:eastAsia="fr-FR"/>
        </w:rPr>
        <w:t xml:space="preserve">En revanche, en application de l’article 3.3 du règlement de consultation, </w:t>
      </w:r>
      <w:r>
        <w:rPr>
          <w:rFonts w:ascii="Marianne" w:hAnsi="Marianne"/>
          <w:sz w:val="20"/>
          <w:szCs w:val="20"/>
          <w:u w:val="single"/>
          <w:lang w:eastAsia="fr-FR"/>
        </w:rPr>
        <w:t>le nombre de lots pouvant être attribués</w:t>
      </w:r>
      <w:r>
        <w:rPr>
          <w:rFonts w:ascii="Marianne" w:hAnsi="Marianne"/>
          <w:sz w:val="20"/>
          <w:szCs w:val="20"/>
          <w:lang w:eastAsia="fr-FR"/>
        </w:rPr>
        <w:t xml:space="preserve"> à une même entreprise est limité.</w:t>
      </w:r>
    </w:p>
    <w:p>
      <w:pPr>
        <w:pStyle w:val="Standard"/>
        <w:jc w:val="both"/>
        <w:rPr>
          <w:rFonts w:ascii="Marianne" w:hAnsi="Marianne"/>
          <w:sz w:val="20"/>
          <w:szCs w:val="20"/>
          <w:lang w:eastAsia="fr-FR"/>
        </w:rPr>
      </w:pPr>
    </w:p>
    <w:p>
      <w:pPr>
        <w:autoSpaceDE w:val="0"/>
        <w:adjustRightInd w:val="0"/>
        <w:jc w:val="both"/>
        <w:rPr>
          <w:rFonts w:ascii="Marianne" w:hAnsi="Marianne" w:cs="Marianne"/>
          <w:color w:val="000000"/>
          <w:sz w:val="20"/>
          <w:szCs w:val="20"/>
        </w:rPr>
      </w:pPr>
      <w:r>
        <w:rPr>
          <w:rFonts w:ascii="Marianne" w:hAnsi="Marianne" w:cs="Marianne"/>
          <w:color w:val="000000"/>
          <w:sz w:val="20"/>
          <w:szCs w:val="20"/>
        </w:rPr>
        <w:t>Il est rappelé que sauf dans l’exception mentionnée ci-dessous, un même soumissionnaire ne peut être titulaire que de :</w:t>
      </w:r>
    </w:p>
    <w:p>
      <w:pPr>
        <w:pStyle w:val="Paragraphedeliste"/>
        <w:numPr>
          <w:ilvl w:val="0"/>
          <w:numId w:val="1"/>
        </w:numPr>
        <w:autoSpaceDE w:val="0"/>
        <w:autoSpaceDN w:val="0"/>
        <w:adjustRightInd w:val="0"/>
        <w:spacing w:after="0" w:line="240" w:lineRule="auto"/>
        <w:jc w:val="both"/>
        <w:rPr>
          <w:rFonts w:ascii="Marianne" w:hAnsi="Marianne" w:cs="Marianne"/>
          <w:color w:val="000000"/>
          <w:sz w:val="20"/>
          <w:szCs w:val="20"/>
        </w:rPr>
      </w:pPr>
      <w:r>
        <w:rPr>
          <w:rFonts w:ascii="Marianne" w:hAnsi="Marianne" w:cs="Marianne"/>
          <w:color w:val="000000"/>
          <w:sz w:val="20"/>
          <w:szCs w:val="20"/>
        </w:rPr>
        <w:t xml:space="preserve">2 (deux) lots parmi l’ensemble constitué par les lots 1 à 3 ; </w:t>
      </w:r>
    </w:p>
    <w:p>
      <w:pPr>
        <w:pStyle w:val="Standard"/>
        <w:jc w:val="both"/>
        <w:rPr>
          <w:rFonts w:ascii="Marianne" w:hAnsi="Marianne"/>
          <w:sz w:val="20"/>
          <w:szCs w:val="20"/>
          <w:lang w:eastAsia="fr-FR"/>
        </w:rPr>
      </w:pPr>
    </w:p>
    <w:p>
      <w:pPr>
        <w:pStyle w:val="Standard"/>
        <w:jc w:val="both"/>
        <w:rPr>
          <w:rFonts w:ascii="Marianne" w:hAnsi="Marianne"/>
        </w:rPr>
      </w:pPr>
      <w:r>
        <w:rPr>
          <w:rFonts w:ascii="Marianne" w:hAnsi="Marianne"/>
          <w:sz w:val="20"/>
          <w:szCs w:val="20"/>
          <w:lang w:eastAsia="fr-FR"/>
        </w:rPr>
        <w:t xml:space="preserve">Les soumissionnaires indiquent l’ordre de préférence d’attribution des lots dans la présente annexe. Cette annexe est obligatoirement remise au moment </w:t>
      </w:r>
      <w:r>
        <w:rPr>
          <w:rFonts w:ascii="Marianne" w:hAnsi="Marianne"/>
          <w:b/>
          <w:bCs/>
          <w:sz w:val="20"/>
          <w:szCs w:val="20"/>
          <w:lang w:eastAsia="fr-FR"/>
        </w:rPr>
        <w:t>du dépôt de l’offre</w:t>
      </w:r>
      <w:r>
        <w:rPr>
          <w:rFonts w:ascii="Marianne" w:hAnsi="Marianne"/>
          <w:sz w:val="20"/>
          <w:szCs w:val="20"/>
          <w:lang w:eastAsia="fr-FR"/>
        </w:rPr>
        <w:t>.</w:t>
      </w:r>
    </w:p>
    <w:p>
      <w:pPr>
        <w:pStyle w:val="Standard"/>
        <w:jc w:val="both"/>
        <w:rPr>
          <w:rFonts w:ascii="Marianne" w:hAnsi="Marianne"/>
          <w:sz w:val="20"/>
          <w:szCs w:val="20"/>
          <w:lang w:eastAsia="fr-FR"/>
        </w:rPr>
      </w:pPr>
    </w:p>
    <w:p>
      <w:pPr>
        <w:pStyle w:val="Standard"/>
        <w:jc w:val="both"/>
        <w:rPr>
          <w:rFonts w:ascii="Marianne" w:hAnsi="Marianne"/>
          <w:sz w:val="20"/>
          <w:szCs w:val="20"/>
          <w:lang w:eastAsia="fr-FR"/>
        </w:rPr>
      </w:pPr>
      <w:r>
        <w:rPr>
          <w:rFonts w:ascii="Marianne" w:hAnsi="Marianne"/>
          <w:sz w:val="20"/>
          <w:szCs w:val="20"/>
          <w:lang w:eastAsia="fr-FR"/>
        </w:rPr>
        <w:t>Le classement est effectué suivant les notes obtenues au regard des critères de jugement des offres.</w:t>
      </w:r>
    </w:p>
    <w:p>
      <w:pPr>
        <w:pStyle w:val="Standard"/>
        <w:jc w:val="both"/>
        <w:rPr>
          <w:rFonts w:ascii="Marianne" w:hAnsi="Marianne"/>
          <w:sz w:val="20"/>
          <w:szCs w:val="20"/>
          <w:lang w:eastAsia="fr-FR"/>
        </w:rPr>
      </w:pPr>
    </w:p>
    <w:p>
      <w:pPr>
        <w:pStyle w:val="Standard"/>
        <w:jc w:val="both"/>
        <w:rPr>
          <w:rFonts w:ascii="Marianne" w:hAnsi="Marianne"/>
          <w:sz w:val="20"/>
          <w:szCs w:val="20"/>
          <w:lang w:eastAsia="fr-FR"/>
        </w:rPr>
      </w:pPr>
      <w:r>
        <w:rPr>
          <w:rFonts w:ascii="Marianne" w:hAnsi="Marianne"/>
          <w:sz w:val="20"/>
          <w:szCs w:val="20"/>
          <w:lang w:eastAsia="fr-FR"/>
        </w:rPr>
        <w:t>L’annexe 5 au RC « ordre de préférence d’attribution des lots » est mise en œuvre uniquement dans le cas où un candidat est classé en première position pour plusieurs lots à l’issue de l’analyse initiale des offres. Dans ce cas, le candidat se voit attribuer les lots dans l’ordre de préférence de sa liste et conformément aux limites exposées plus haut.</w:t>
      </w:r>
    </w:p>
    <w:p>
      <w:pPr>
        <w:pStyle w:val="Standard"/>
        <w:jc w:val="both"/>
        <w:rPr>
          <w:rFonts w:ascii="Marianne" w:hAnsi="Marianne"/>
          <w:sz w:val="20"/>
          <w:szCs w:val="20"/>
          <w:lang w:eastAsia="fr-FR"/>
        </w:rPr>
      </w:pPr>
    </w:p>
    <w:p>
      <w:pPr>
        <w:tabs>
          <w:tab w:val="left" w:pos="2595"/>
        </w:tabs>
        <w:jc w:val="both"/>
        <w:rPr>
          <w:rFonts w:ascii="Marianne" w:hAnsi="Marianne" w:cs="Marianne"/>
          <w:color w:val="000000"/>
          <w:sz w:val="20"/>
          <w:szCs w:val="20"/>
        </w:rPr>
      </w:pPr>
      <w:r>
        <w:rPr>
          <w:rFonts w:ascii="Marianne" w:hAnsi="Marianne" w:cs="Marianne"/>
          <w:color w:val="000000"/>
          <w:sz w:val="20"/>
          <w:szCs w:val="20"/>
        </w:rPr>
        <w:t xml:space="preserve">Ainsi, un même opérateur économique ne pourra, en tout état de cause, être titulaire que de deux lots au maximum. Un candidat présentant une offre pour plusieurs lots ne pouvant lui être attribué concomitant est tenu de remplir un ordre de préférence (annexe 5 du présent règlement de consultation). </w:t>
      </w:r>
    </w:p>
    <w:p>
      <w:pPr>
        <w:tabs>
          <w:tab w:val="left" w:pos="2595"/>
        </w:tabs>
        <w:jc w:val="both"/>
        <w:rPr>
          <w:rFonts w:ascii="Marianne" w:hAnsi="Marianne" w:cs="Marianne"/>
          <w:color w:val="000000"/>
          <w:sz w:val="20"/>
          <w:szCs w:val="20"/>
        </w:rPr>
      </w:pPr>
      <w:r>
        <w:rPr>
          <w:rFonts w:ascii="Marianne" w:hAnsi="Marianne" w:cs="Marianne"/>
          <w:color w:val="000000"/>
          <w:sz w:val="20"/>
          <w:szCs w:val="20"/>
        </w:rPr>
        <w:t xml:space="preserve">Ce dernier n’a vocation à être utilisé que si le candidat en cause est en position d’être désigné attributaire pour un nombre de lots supérieur aux limites mentionnées ci-dessus, dans les conditions précisées à l’article 7. </w:t>
      </w:r>
    </w:p>
    <w:p>
      <w:pPr>
        <w:tabs>
          <w:tab w:val="left" w:pos="2595"/>
        </w:tabs>
        <w:jc w:val="both"/>
        <w:rPr>
          <w:rFonts w:ascii="Marianne" w:hAnsi="Marianne" w:cs="Marianne"/>
          <w:color w:val="000000"/>
          <w:sz w:val="20"/>
          <w:szCs w:val="20"/>
        </w:rPr>
      </w:pPr>
    </w:p>
    <w:p>
      <w:pPr>
        <w:tabs>
          <w:tab w:val="left" w:pos="2595"/>
        </w:tabs>
        <w:jc w:val="both"/>
        <w:rPr>
          <w:rFonts w:ascii="Marianne" w:hAnsi="Marianne" w:cs="Marianne"/>
          <w:color w:val="000000"/>
          <w:sz w:val="20"/>
          <w:szCs w:val="20"/>
        </w:rPr>
      </w:pPr>
      <w:r>
        <w:rPr>
          <w:rFonts w:ascii="Marianne" w:hAnsi="Marianne" w:cs="Marianne"/>
          <w:color w:val="000000"/>
          <w:sz w:val="20"/>
          <w:szCs w:val="20"/>
        </w:rPr>
        <w:t xml:space="preserve">Exception : Toutefois, </w:t>
      </w:r>
      <w:r>
        <w:rPr>
          <w:rFonts w:ascii="Marianne" w:hAnsi="Marianne"/>
          <w:i/>
          <w:iCs/>
          <w:sz w:val="20"/>
          <w:szCs w:val="20"/>
        </w:rPr>
        <w:t xml:space="preserve">L’annexe 5 au RC est utilisée par l’acheteur uniquement </w:t>
      </w:r>
      <w:r>
        <w:rPr>
          <w:rFonts w:ascii="Marianne" w:hAnsi="Marianne"/>
          <w:i/>
          <w:iCs/>
          <w:sz w:val="20"/>
          <w:szCs w:val="20"/>
          <w:u w:val="single"/>
        </w:rPr>
        <w:t>dans le cas où le nombre maximum d’attributaire pour un lot, n’est pas atteint</w:t>
      </w:r>
      <w:r>
        <w:rPr>
          <w:rFonts w:ascii="Marianne" w:hAnsi="Marianne"/>
          <w:i/>
          <w:iCs/>
          <w:sz w:val="20"/>
          <w:szCs w:val="20"/>
        </w:rPr>
        <w:t xml:space="preserve"> et que le candidat est classé en position d’attribution du dit lot, à l’issue de l’analyse des offres. Dans ce cas, le candidat peut se voir attribuer au maximum un nombre de lots équivalent au nombre de lots pour lesquels le nombre d’attributaires n’est pas atteint du fait d’un nombre insuffisant d’offre régulières, dans l’ordre de préférence de sa liste et sous réserve des incompatibilités découlant des dispositions légales et réglementaires encadrant les activités propres à chaque lot.</w:t>
      </w:r>
      <w:r>
        <w:rPr>
          <w:rFonts w:ascii="Marianne" w:hAnsi="Marianne"/>
          <w:sz w:val="20"/>
          <w:szCs w:val="20"/>
        </w:rPr>
        <w:t> </w:t>
      </w:r>
    </w:p>
    <w:p>
      <w:pPr>
        <w:pStyle w:val="Standard"/>
        <w:jc w:val="both"/>
        <w:rPr>
          <w:rFonts w:ascii="Marianne" w:hAnsi="Marianne"/>
          <w:sz w:val="20"/>
          <w:szCs w:val="20"/>
          <w:lang w:eastAsia="fr-FR"/>
        </w:rPr>
      </w:pPr>
    </w:p>
    <w:p>
      <w:pPr>
        <w:pStyle w:val="Standard"/>
        <w:jc w:val="both"/>
        <w:rPr>
          <w:rFonts w:ascii="Marianne" w:hAnsi="Marianne"/>
          <w:sz w:val="20"/>
          <w:szCs w:val="20"/>
          <w:lang w:eastAsia="fr-FR"/>
        </w:rPr>
      </w:pPr>
    </w:p>
    <w:p>
      <w:pPr>
        <w:pStyle w:val="Standard"/>
        <w:rPr>
          <w:rFonts w:ascii="Marianne" w:hAnsi="Marianne"/>
          <w:sz w:val="20"/>
          <w:szCs w:val="20"/>
          <w:lang w:eastAsia="fr-FR"/>
        </w:rPr>
      </w:pPr>
      <w:r>
        <w:rPr>
          <w:rFonts w:ascii="Marianne" w:hAnsi="Marianne"/>
          <w:sz w:val="20"/>
          <w:szCs w:val="20"/>
          <w:lang w:eastAsia="fr-FR"/>
        </w:rPr>
        <w:t xml:space="preserve">Dans la colonne « ordre de préférence », les soumissionnaires </w:t>
      </w:r>
      <w:r>
        <w:rPr>
          <w:rFonts w:ascii="Marianne" w:hAnsi="Marianne"/>
          <w:b/>
          <w:bCs/>
          <w:color w:val="FF0000"/>
          <w:sz w:val="20"/>
          <w:szCs w:val="20"/>
          <w:u w:val="single"/>
          <w:lang w:eastAsia="fr-FR"/>
        </w:rPr>
        <w:t xml:space="preserve">suppriment </w:t>
      </w:r>
      <w:r>
        <w:rPr>
          <w:rFonts w:ascii="Marianne" w:hAnsi="Marianne"/>
          <w:b/>
          <w:bCs/>
          <w:sz w:val="20"/>
          <w:szCs w:val="20"/>
          <w:u w:val="single"/>
          <w:lang w:eastAsia="fr-FR"/>
        </w:rPr>
        <w:t>les mentions inutiles</w:t>
      </w:r>
      <w:r>
        <w:rPr>
          <w:rFonts w:ascii="Marianne" w:hAnsi="Marianne"/>
          <w:sz w:val="20"/>
          <w:szCs w:val="20"/>
          <w:lang w:eastAsia="fr-FR"/>
        </w:rPr>
        <w:t>.</w:t>
      </w:r>
    </w:p>
    <w:p>
      <w:pPr>
        <w:pStyle w:val="Standard"/>
        <w:rPr>
          <w:rFonts w:ascii="Marianne" w:hAnsi="Marianne"/>
        </w:rPr>
      </w:pPr>
    </w:p>
    <w:tbl>
      <w:tblPr>
        <w:tblW w:w="10055" w:type="dxa"/>
        <w:tblCellMar>
          <w:left w:w="70" w:type="dxa"/>
          <w:right w:w="70" w:type="dxa"/>
        </w:tblCellMar>
        <w:tblLook w:val="04A0" w:firstRow="1" w:lastRow="0" w:firstColumn="1" w:lastColumn="0" w:noHBand="0" w:noVBand="1"/>
      </w:tblPr>
      <w:tblGrid>
        <w:gridCol w:w="4385"/>
        <w:gridCol w:w="3969"/>
        <w:gridCol w:w="1701"/>
      </w:tblGrid>
      <w:tr>
        <w:trPr>
          <w:trHeight w:val="1088"/>
          <w:tblHeader/>
        </w:trPr>
        <w:tc>
          <w:tcPr>
            <w:tcW w:w="4385"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pPr>
              <w:jc w:val="center"/>
              <w:rPr>
                <w:rFonts w:ascii="Marianne" w:eastAsia="Times New Roman" w:hAnsi="Marianne" w:cs="Calibri"/>
                <w:b/>
                <w:bCs/>
                <w:color w:val="000000"/>
                <w:sz w:val="18"/>
                <w:szCs w:val="18"/>
                <w:lang w:eastAsia="fr-FR"/>
              </w:rPr>
            </w:pPr>
            <w:r>
              <w:rPr>
                <w:rFonts w:ascii="Marianne" w:eastAsia="Times New Roman" w:hAnsi="Marianne" w:cs="Calibri"/>
                <w:b/>
                <w:bCs/>
                <w:color w:val="000000"/>
                <w:sz w:val="18"/>
                <w:szCs w:val="18"/>
                <w:lang w:eastAsia="fr-FR"/>
              </w:rPr>
              <w:t>Intitulé</w:t>
            </w:r>
          </w:p>
        </w:tc>
        <w:tc>
          <w:tcPr>
            <w:tcW w:w="3969" w:type="dxa"/>
            <w:tcBorders>
              <w:top w:val="single" w:sz="8" w:space="0" w:color="auto"/>
              <w:left w:val="nil"/>
              <w:bottom w:val="single" w:sz="8" w:space="0" w:color="auto"/>
              <w:right w:val="single" w:sz="8" w:space="0" w:color="auto"/>
            </w:tcBorders>
            <w:shd w:val="clear" w:color="auto" w:fill="BFBFBF" w:themeFill="background1" w:themeFillShade="BF"/>
            <w:vAlign w:val="center"/>
          </w:tcPr>
          <w:p>
            <w:pPr>
              <w:jc w:val="center"/>
              <w:rPr>
                <w:rFonts w:ascii="Marianne" w:eastAsia="Times New Roman" w:hAnsi="Marianne" w:cs="Calibri"/>
                <w:b/>
                <w:bCs/>
                <w:color w:val="000000"/>
                <w:sz w:val="18"/>
                <w:szCs w:val="18"/>
                <w:lang w:eastAsia="fr-FR"/>
              </w:rPr>
            </w:pPr>
            <w:r>
              <w:rPr>
                <w:rFonts w:ascii="Marianne" w:eastAsia="Times New Roman" w:hAnsi="Marianne" w:cs="Calibri"/>
                <w:b/>
                <w:bCs/>
                <w:color w:val="000000"/>
                <w:sz w:val="18"/>
                <w:szCs w:val="18"/>
                <w:lang w:eastAsia="fr-FR"/>
              </w:rPr>
              <w:t>Géographie</w:t>
            </w:r>
          </w:p>
        </w:tc>
        <w:tc>
          <w:tcPr>
            <w:tcW w:w="1701"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pPr>
              <w:jc w:val="center"/>
              <w:rPr>
                <w:rFonts w:ascii="Marianne" w:eastAsia="Times New Roman" w:hAnsi="Marianne" w:cs="Calibri"/>
                <w:b/>
                <w:bCs/>
                <w:color w:val="000000"/>
                <w:sz w:val="18"/>
                <w:szCs w:val="18"/>
                <w:lang w:eastAsia="fr-FR"/>
              </w:rPr>
            </w:pPr>
            <w:r>
              <w:rPr>
                <w:rFonts w:ascii="Marianne" w:eastAsia="Times New Roman" w:hAnsi="Marianne" w:cs="Calibri"/>
                <w:b/>
                <w:bCs/>
                <w:color w:val="FF0000"/>
                <w:sz w:val="18"/>
                <w:szCs w:val="18"/>
                <w:lang w:eastAsia="fr-FR"/>
              </w:rPr>
              <w:t>Ordre de préférence</w:t>
            </w:r>
          </w:p>
        </w:tc>
      </w:tr>
      <w:tr>
        <w:trPr>
          <w:trHeight w:val="1088"/>
        </w:trPr>
        <w:tc>
          <w:tcPr>
            <w:tcW w:w="4385" w:type="dxa"/>
            <w:tcBorders>
              <w:top w:val="nil"/>
              <w:left w:val="single" w:sz="8" w:space="0" w:color="auto"/>
              <w:bottom w:val="single" w:sz="8" w:space="0" w:color="auto"/>
              <w:right w:val="single" w:sz="8" w:space="0" w:color="auto"/>
            </w:tcBorders>
            <w:shd w:val="clear" w:color="000000" w:fill="F2F2F2"/>
            <w:vAlign w:val="center"/>
            <w:hideMark/>
          </w:tcPr>
          <w:p>
            <w:pPr>
              <w:rPr>
                <w:rFonts w:ascii="Marianne" w:eastAsia="Times New Roman" w:hAnsi="Marianne" w:cs="Calibri"/>
                <w:color w:val="404040"/>
                <w:sz w:val="18"/>
                <w:szCs w:val="18"/>
                <w:lang w:eastAsia="fr-FR"/>
              </w:rPr>
            </w:pPr>
            <w:r>
              <w:rPr>
                <w:rFonts w:ascii="Marianne" w:eastAsia="Times New Roman" w:hAnsi="Marianne" w:cs="Calibri"/>
                <w:color w:val="404040"/>
                <w:sz w:val="18"/>
                <w:szCs w:val="18"/>
                <w:lang w:eastAsia="fr-FR"/>
              </w:rPr>
              <w:t>Lot 1 : Maintenance des équipements de lutte contre l’incendie (bons de commande)</w:t>
            </w:r>
          </w:p>
        </w:tc>
        <w:tc>
          <w:tcPr>
            <w:tcW w:w="3969" w:type="dxa"/>
            <w:tcBorders>
              <w:top w:val="single" w:sz="8" w:space="0" w:color="auto"/>
              <w:left w:val="nil"/>
              <w:bottom w:val="single" w:sz="8" w:space="0" w:color="auto"/>
              <w:right w:val="single" w:sz="8" w:space="0" w:color="auto"/>
            </w:tcBorders>
            <w:shd w:val="clear" w:color="000000" w:fill="F2F2F2"/>
            <w:vAlign w:val="center"/>
          </w:tcPr>
          <w:p>
            <w:pPr>
              <w:jc w:val="center"/>
              <w:rPr>
                <w:rFonts w:ascii="Marianne" w:eastAsia="Times New Roman" w:hAnsi="Marianne" w:cs="Calibri"/>
                <w:color w:val="000000"/>
                <w:sz w:val="18"/>
                <w:szCs w:val="18"/>
                <w:lang w:eastAsia="fr-FR"/>
              </w:rPr>
            </w:pPr>
            <w:r>
              <w:rPr>
                <w:rFonts w:ascii="Marianne" w:eastAsia="Times New Roman" w:hAnsi="Marianne" w:cs="Calibri"/>
                <w:color w:val="000000"/>
                <w:sz w:val="18"/>
                <w:szCs w:val="18"/>
                <w:lang w:eastAsia="fr-FR"/>
              </w:rPr>
              <w:t>75</w:t>
            </w:r>
          </w:p>
        </w:tc>
        <w:tc>
          <w:tcPr>
            <w:tcW w:w="1701" w:type="dxa"/>
            <w:tcBorders>
              <w:top w:val="nil"/>
              <w:left w:val="single" w:sz="8" w:space="0" w:color="auto"/>
              <w:bottom w:val="single" w:sz="8" w:space="0" w:color="auto"/>
              <w:right w:val="single" w:sz="8" w:space="0" w:color="auto"/>
            </w:tcBorders>
            <w:shd w:val="clear" w:color="000000" w:fill="F2F2F2"/>
            <w:vAlign w:val="center"/>
            <w:hideMark/>
          </w:tcPr>
          <w:p>
            <w:pPr>
              <w:jc w:val="center"/>
              <w:rPr>
                <w:rFonts w:ascii="Marianne" w:eastAsia="Times New Roman" w:hAnsi="Marianne" w:cs="Calibri"/>
                <w:color w:val="000000"/>
                <w:sz w:val="18"/>
                <w:szCs w:val="18"/>
                <w:lang w:eastAsia="fr-FR"/>
              </w:rPr>
            </w:pPr>
            <w:r>
              <w:rPr>
                <w:rFonts w:ascii="Marianne" w:eastAsia="Times New Roman" w:hAnsi="Marianne" w:cs="Calibri"/>
                <w:color w:val="000000"/>
                <w:sz w:val="18"/>
                <w:szCs w:val="18"/>
                <w:lang w:eastAsia="fr-FR"/>
              </w:rPr>
              <w:t>1, 2, 3</w:t>
            </w:r>
          </w:p>
        </w:tc>
      </w:tr>
      <w:tr>
        <w:trPr>
          <w:trHeight w:val="1088"/>
        </w:trPr>
        <w:tc>
          <w:tcPr>
            <w:tcW w:w="4385" w:type="dxa"/>
            <w:tcBorders>
              <w:top w:val="nil"/>
              <w:left w:val="single" w:sz="8" w:space="0" w:color="auto"/>
              <w:bottom w:val="single" w:sz="8" w:space="0" w:color="auto"/>
              <w:right w:val="single" w:sz="8" w:space="0" w:color="auto"/>
            </w:tcBorders>
            <w:shd w:val="clear" w:color="000000" w:fill="F2F2F2"/>
            <w:vAlign w:val="center"/>
            <w:hideMark/>
          </w:tcPr>
          <w:p>
            <w:pPr>
              <w:rPr>
                <w:rFonts w:ascii="Marianne" w:eastAsia="Times New Roman" w:hAnsi="Marianne" w:cs="Calibri"/>
                <w:color w:val="404040"/>
                <w:sz w:val="18"/>
                <w:szCs w:val="18"/>
                <w:lang w:eastAsia="fr-FR"/>
              </w:rPr>
            </w:pPr>
            <w:r>
              <w:rPr>
                <w:rFonts w:ascii="Marianne" w:eastAsia="Times New Roman" w:hAnsi="Marianne" w:cs="Calibri"/>
                <w:color w:val="404040"/>
                <w:sz w:val="18"/>
                <w:szCs w:val="18"/>
                <w:lang w:eastAsia="fr-FR"/>
              </w:rPr>
              <w:t>Lot 2 : Maintenance des équipements de lutte contre l’incendie (bons de commande)</w:t>
            </w:r>
          </w:p>
        </w:tc>
        <w:tc>
          <w:tcPr>
            <w:tcW w:w="3969" w:type="dxa"/>
            <w:tcBorders>
              <w:top w:val="single" w:sz="8" w:space="0" w:color="auto"/>
              <w:left w:val="nil"/>
              <w:bottom w:val="single" w:sz="8" w:space="0" w:color="auto"/>
              <w:right w:val="single" w:sz="8" w:space="0" w:color="auto"/>
            </w:tcBorders>
            <w:shd w:val="clear" w:color="000000" w:fill="F2F2F2"/>
            <w:vAlign w:val="center"/>
          </w:tcPr>
          <w:p>
            <w:pPr>
              <w:jc w:val="center"/>
              <w:rPr>
                <w:rFonts w:ascii="Marianne" w:eastAsia="Times New Roman" w:hAnsi="Marianne" w:cs="Calibri"/>
                <w:color w:val="000000"/>
                <w:sz w:val="18"/>
                <w:szCs w:val="18"/>
                <w:lang w:eastAsia="fr-FR"/>
              </w:rPr>
            </w:pPr>
            <w:r>
              <w:rPr>
                <w:rFonts w:ascii="Marianne" w:eastAsia="Times New Roman" w:hAnsi="Marianne" w:cs="Calibri"/>
                <w:color w:val="000000"/>
                <w:sz w:val="18"/>
                <w:szCs w:val="18"/>
                <w:lang w:eastAsia="fr-FR"/>
              </w:rPr>
              <w:t>77 - 91 - 93 - 94</w:t>
            </w:r>
          </w:p>
        </w:tc>
        <w:tc>
          <w:tcPr>
            <w:tcW w:w="1701" w:type="dxa"/>
            <w:tcBorders>
              <w:top w:val="nil"/>
              <w:left w:val="single" w:sz="8" w:space="0" w:color="auto"/>
              <w:bottom w:val="single" w:sz="8" w:space="0" w:color="auto"/>
              <w:right w:val="single" w:sz="8" w:space="0" w:color="auto"/>
            </w:tcBorders>
            <w:shd w:val="clear" w:color="000000" w:fill="F2F2F2"/>
            <w:vAlign w:val="center"/>
            <w:hideMark/>
          </w:tcPr>
          <w:p>
            <w:pPr>
              <w:jc w:val="center"/>
              <w:rPr>
                <w:rFonts w:ascii="Marianne" w:eastAsia="Times New Roman" w:hAnsi="Marianne" w:cs="Calibri"/>
                <w:color w:val="000000"/>
                <w:sz w:val="18"/>
                <w:szCs w:val="18"/>
                <w:lang w:eastAsia="fr-FR"/>
              </w:rPr>
            </w:pPr>
            <w:r>
              <w:rPr>
                <w:rFonts w:ascii="Marianne" w:eastAsia="Times New Roman" w:hAnsi="Marianne" w:cs="Calibri"/>
                <w:color w:val="000000"/>
                <w:sz w:val="18"/>
                <w:szCs w:val="18"/>
                <w:lang w:eastAsia="fr-FR"/>
              </w:rPr>
              <w:t>1, 2, 3</w:t>
            </w:r>
          </w:p>
        </w:tc>
      </w:tr>
      <w:tr>
        <w:trPr>
          <w:trHeight w:val="1088"/>
        </w:trPr>
        <w:tc>
          <w:tcPr>
            <w:tcW w:w="4385" w:type="dxa"/>
            <w:tcBorders>
              <w:top w:val="nil"/>
              <w:left w:val="single" w:sz="8" w:space="0" w:color="auto"/>
              <w:bottom w:val="single" w:sz="8" w:space="0" w:color="auto"/>
              <w:right w:val="single" w:sz="8" w:space="0" w:color="auto"/>
            </w:tcBorders>
            <w:shd w:val="clear" w:color="000000" w:fill="F2F2F2"/>
            <w:vAlign w:val="center"/>
            <w:hideMark/>
          </w:tcPr>
          <w:p>
            <w:pPr>
              <w:rPr>
                <w:rFonts w:ascii="Marianne" w:eastAsia="Times New Roman" w:hAnsi="Marianne" w:cs="Calibri"/>
                <w:color w:val="404040"/>
                <w:sz w:val="18"/>
                <w:szCs w:val="18"/>
                <w:lang w:eastAsia="fr-FR"/>
              </w:rPr>
            </w:pPr>
            <w:r>
              <w:rPr>
                <w:rFonts w:ascii="Marianne" w:eastAsia="Times New Roman" w:hAnsi="Marianne" w:cs="Calibri"/>
                <w:color w:val="404040"/>
                <w:sz w:val="18"/>
                <w:szCs w:val="18"/>
                <w:lang w:eastAsia="fr-FR"/>
              </w:rPr>
              <w:t>Lot 3 : Maintenance des équipements de lutte contre l’incendie (bons de commande)</w:t>
            </w:r>
          </w:p>
        </w:tc>
        <w:tc>
          <w:tcPr>
            <w:tcW w:w="3969" w:type="dxa"/>
            <w:tcBorders>
              <w:top w:val="single" w:sz="8" w:space="0" w:color="auto"/>
              <w:left w:val="nil"/>
              <w:bottom w:val="single" w:sz="8" w:space="0" w:color="auto"/>
              <w:right w:val="single" w:sz="8" w:space="0" w:color="auto"/>
            </w:tcBorders>
            <w:shd w:val="clear" w:color="000000" w:fill="F2F2F2"/>
            <w:vAlign w:val="center"/>
          </w:tcPr>
          <w:p>
            <w:pPr>
              <w:jc w:val="center"/>
              <w:rPr>
                <w:rFonts w:ascii="Marianne" w:eastAsia="Times New Roman" w:hAnsi="Marianne" w:cs="Calibri"/>
                <w:color w:val="000000"/>
                <w:sz w:val="18"/>
                <w:szCs w:val="18"/>
                <w:lang w:eastAsia="fr-FR"/>
              </w:rPr>
            </w:pPr>
            <w:r>
              <w:rPr>
                <w:rFonts w:ascii="Marianne" w:eastAsia="Times New Roman" w:hAnsi="Marianne" w:cs="Calibri"/>
                <w:color w:val="000000"/>
                <w:sz w:val="18"/>
                <w:szCs w:val="18"/>
                <w:lang w:eastAsia="fr-FR"/>
              </w:rPr>
              <w:t>78 - 92 - 95</w:t>
            </w:r>
          </w:p>
        </w:tc>
        <w:tc>
          <w:tcPr>
            <w:tcW w:w="1701" w:type="dxa"/>
            <w:tcBorders>
              <w:top w:val="nil"/>
              <w:left w:val="single" w:sz="8" w:space="0" w:color="auto"/>
              <w:bottom w:val="single" w:sz="8" w:space="0" w:color="auto"/>
              <w:right w:val="single" w:sz="8" w:space="0" w:color="auto"/>
            </w:tcBorders>
            <w:shd w:val="clear" w:color="000000" w:fill="F2F2F2"/>
            <w:vAlign w:val="center"/>
            <w:hideMark/>
          </w:tcPr>
          <w:p>
            <w:pPr>
              <w:jc w:val="center"/>
              <w:rPr>
                <w:rFonts w:ascii="Marianne" w:eastAsia="Times New Roman" w:hAnsi="Marianne" w:cs="Calibri"/>
                <w:color w:val="000000"/>
                <w:sz w:val="18"/>
                <w:szCs w:val="18"/>
                <w:lang w:eastAsia="fr-FR"/>
              </w:rPr>
            </w:pPr>
            <w:r>
              <w:rPr>
                <w:rFonts w:ascii="Marianne" w:eastAsia="Times New Roman" w:hAnsi="Marianne" w:cs="Calibri"/>
                <w:color w:val="000000"/>
                <w:sz w:val="18"/>
                <w:szCs w:val="18"/>
                <w:lang w:eastAsia="fr-FR"/>
              </w:rPr>
              <w:t>1, 2, 3</w:t>
            </w:r>
          </w:p>
        </w:tc>
      </w:tr>
    </w:tbl>
    <w:p>
      <w:pPr>
        <w:pStyle w:val="Standard"/>
        <w:rPr>
          <w:rFonts w:ascii="Marianne" w:hAnsi="Marianne"/>
        </w:rPr>
      </w:pPr>
    </w:p>
    <w:sectPr>
      <w:pgSz w:w="11906" w:h="16838"/>
      <w:pgMar w:top="964" w:right="1077" w:bottom="1530" w:left="1077" w:header="720"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ndale Sans UI">
    <w:altName w:val="Cambria"/>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rPr>
          <w:color w:val="000000"/>
        </w:rP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E73AE"/>
    <w:multiLevelType w:val="hybridMultilevel"/>
    <w:tmpl w:val="88EC2EC6"/>
    <w:lvl w:ilvl="0" w:tplc="040C0001">
      <w:start w:val="1"/>
      <w:numFmt w:val="bullet"/>
      <w:lvlText w:val=""/>
      <w:lvlJc w:val="left"/>
      <w:pPr>
        <w:ind w:left="643" w:hanging="360"/>
      </w:pPr>
      <w:rPr>
        <w:rFonts w:ascii="Symbol" w:hAnsi="Symbol" w:hint="default"/>
      </w:rPr>
    </w:lvl>
    <w:lvl w:ilvl="1" w:tplc="040C0003">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B9F04A-D983-4F53-AD95-6B0D75CF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Heading"/>
    <w:next w:val="Textbody"/>
    <w:pPr>
      <w:outlineLvl w:val="0"/>
    </w:pPr>
    <w:rPr>
      <w:b/>
      <w:bCs/>
    </w:rPr>
  </w:style>
  <w:style w:type="paragraph" w:styleId="Titre2">
    <w:name w:val="heading 2"/>
    <w:basedOn w:val="Heading"/>
    <w:next w:val="Textbody"/>
    <w:pPr>
      <w:spacing w:before="200"/>
      <w:outlineLvl w:val="1"/>
    </w:pPr>
    <w:rPr>
      <w:b/>
      <w:bCs/>
    </w:rPr>
  </w:style>
  <w:style w:type="paragraph" w:styleId="Titre3">
    <w:name w:val="heading 3"/>
    <w:basedOn w:val="Heading"/>
    <w:next w:val="Textbody"/>
    <w:pPr>
      <w:spacing w:before="140"/>
      <w:outlineLvl w:val="2"/>
    </w:pPr>
    <w:rPr>
      <w:b/>
      <w:bCs/>
      <w:color w:val="8080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88" w:lineRule="auto"/>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Quotations">
    <w:name w:val="Quotations"/>
    <w:basedOn w:val="Standard"/>
    <w:pPr>
      <w:spacing w:after="283"/>
      <w:ind w:left="567" w:right="567"/>
    </w:pPr>
  </w:style>
  <w:style w:type="paragraph" w:styleId="Titre">
    <w:name w:val="Title"/>
    <w:basedOn w:val="Heading"/>
    <w:next w:val="Textbody"/>
    <w:pPr>
      <w:jc w:val="center"/>
    </w:pPr>
    <w:rPr>
      <w:b/>
      <w:bCs/>
      <w:sz w:val="56"/>
      <w:szCs w:val="56"/>
    </w:rPr>
  </w:style>
  <w:style w:type="paragraph" w:styleId="Sous-titre">
    <w:name w:val="Subtitle"/>
    <w:basedOn w:val="Heading"/>
    <w:next w:val="Textbody"/>
    <w:pPr>
      <w:spacing w:before="60"/>
      <w:jc w:val="center"/>
    </w:pPr>
    <w:rPr>
      <w:sz w:val="36"/>
      <w:szCs w:val="36"/>
    </w:rPr>
  </w:style>
  <w:style w:type="paragraph" w:styleId="Pieddepage">
    <w:name w:val="footer"/>
    <w:basedOn w:val="Standard"/>
    <w:pPr>
      <w:suppressLineNumbers/>
      <w:tabs>
        <w:tab w:val="center" w:pos="4819"/>
        <w:tab w:val="right" w:pos="9638"/>
      </w:tabs>
    </w:pPr>
  </w:style>
  <w:style w:type="paragraph" w:customStyle="1" w:styleId="Table">
    <w:name w:val="Table"/>
    <w:basedOn w:val="Lgende"/>
    <w:rPr>
      <w:i w:val="0"/>
      <w:sz w:val="17"/>
    </w:rPr>
  </w:style>
  <w:style w:type="character" w:customStyle="1" w:styleId="StrongEmphasis">
    <w:name w:val="Strong Emphasis"/>
    <w:rPr>
      <w:b/>
      <w:bCs/>
    </w:rPr>
  </w:style>
  <w:style w:type="character" w:customStyle="1" w:styleId="Internetlink">
    <w:name w:val="Internet link"/>
    <w:rPr>
      <w:color w:val="000080"/>
      <w:u w:val="single"/>
    </w:rPr>
  </w:style>
  <w:style w:type="character" w:customStyle="1" w:styleId="RTFNum35">
    <w:name w:val="RTF_Num 3 5"/>
    <w:rPr>
      <w:rFonts w:cs="Times New Roman"/>
    </w:rPr>
  </w:style>
  <w:style w:type="character" w:styleId="Marquedecommentaire">
    <w:name w:val="annotation reference"/>
    <w:qFormat/>
    <w:rPr>
      <w:sz w:val="16"/>
      <w:szCs w:val="16"/>
    </w:rPr>
  </w:style>
  <w:style w:type="paragraph" w:styleId="Commentaire">
    <w:name w:val="annotation text"/>
    <w:basedOn w:val="Normal"/>
    <w:link w:val="CommentaireCar1"/>
    <w:qFormat/>
    <w:pPr>
      <w:spacing w:before="57"/>
      <w:jc w:val="both"/>
      <w:textAlignment w:val="center"/>
    </w:pPr>
    <w:rPr>
      <w:rFonts w:ascii="Arial" w:eastAsia="Andale Sans UI" w:hAnsi="Arial" w:cs="Times New Roman"/>
      <w:sz w:val="20"/>
      <w:szCs w:val="20"/>
      <w:lang w:eastAsia="fr-FR" w:bidi="ar-SA"/>
    </w:rPr>
  </w:style>
  <w:style w:type="character" w:customStyle="1" w:styleId="CommentaireCar">
    <w:name w:val="Commentaire Car"/>
    <w:basedOn w:val="Policepardfaut"/>
    <w:qFormat/>
    <w:rPr>
      <w:rFonts w:ascii="Arial" w:eastAsia="Andale Sans UI" w:hAnsi="Arial" w:cs="Times New Roman"/>
      <w:kern w:val="3"/>
      <w:sz w:val="20"/>
      <w:szCs w:val="20"/>
      <w:lang w:eastAsia="fr-FR" w:bidi="ar-SA"/>
    </w:rPr>
  </w:style>
  <w:style w:type="paragraph" w:styleId="Textedebulles">
    <w:name w:val="Balloon Text"/>
    <w:basedOn w:val="Normal"/>
    <w:rPr>
      <w:rFonts w:ascii="Segoe UI" w:hAnsi="Segoe UI"/>
      <w:sz w:val="18"/>
      <w:szCs w:val="16"/>
    </w:rPr>
  </w:style>
  <w:style w:type="character" w:customStyle="1" w:styleId="TextedebullesCar">
    <w:name w:val="Texte de bulles Car"/>
    <w:basedOn w:val="Policepardfaut"/>
    <w:rPr>
      <w:rFonts w:ascii="Segoe UI" w:hAnsi="Segoe UI"/>
      <w:sz w:val="18"/>
      <w:szCs w:val="16"/>
    </w:rPr>
  </w:style>
  <w:style w:type="paragraph" w:styleId="En-tte">
    <w:name w:val="header"/>
    <w:basedOn w:val="Normal"/>
    <w:pPr>
      <w:tabs>
        <w:tab w:val="center" w:pos="4536"/>
        <w:tab w:val="right" w:pos="9072"/>
      </w:tabs>
    </w:pPr>
    <w:rPr>
      <w:szCs w:val="21"/>
    </w:rPr>
  </w:style>
  <w:style w:type="character" w:customStyle="1" w:styleId="En-tteCar">
    <w:name w:val="En-tête Car"/>
    <w:basedOn w:val="Policepardfaut"/>
    <w:rPr>
      <w:szCs w:val="21"/>
    </w:rPr>
  </w:style>
  <w:style w:type="paragraph" w:styleId="Paragraphedeliste">
    <w:name w:val="List Paragraph"/>
    <w:aliases w:val="Puces,Liste à puce,Pied de page-Stordata,Listes,Pied de page-Stordata1,Liste à puce1,Pied de page-Stordata2,Liste à puce2,Pied de page-Stordata3,Liste à puce3,Pied de page-Stordata4,Liste à puce4,Pied de page-Stordata5,Liste à puce5"/>
    <w:basedOn w:val="Normal"/>
    <w:link w:val="ParagraphedelisteCar"/>
    <w:uiPriority w:val="34"/>
    <w:qFormat/>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character" w:customStyle="1" w:styleId="ParagraphedelisteCar">
    <w:name w:val="Paragraphe de liste Car"/>
    <w:aliases w:val="Puces Car,Liste à puce Car,Pied de page-Stordata Car,Listes Car,Pied de page-Stordata1 Car,Liste à puce1 Car,Pied de page-Stordata2 Car,Liste à puce2 Car,Pied de page-Stordata3 Car,Liste à puce3 Car,Pied de page-Stordata4 Car"/>
    <w:link w:val="Paragraphedeliste"/>
    <w:uiPriority w:val="34"/>
    <w:qFormat/>
    <w:locked/>
    <w:rPr>
      <w:rFonts w:asciiTheme="minorHAnsi" w:eastAsiaTheme="minorHAnsi" w:hAnsiTheme="minorHAnsi" w:cstheme="minorBidi"/>
      <w:kern w:val="0"/>
      <w:sz w:val="22"/>
      <w:szCs w:val="22"/>
      <w:lang w:eastAsia="en-US" w:bidi="ar-SA"/>
    </w:rPr>
  </w:style>
  <w:style w:type="paragraph" w:styleId="Objetducommentaire">
    <w:name w:val="annotation subject"/>
    <w:basedOn w:val="Commentaire"/>
    <w:next w:val="Commentaire"/>
    <w:link w:val="ObjetducommentaireCar"/>
    <w:uiPriority w:val="99"/>
    <w:semiHidden/>
    <w:unhideWhenUsed/>
    <w:pPr>
      <w:spacing w:before="0"/>
      <w:jc w:val="left"/>
      <w:textAlignment w:val="baseline"/>
    </w:pPr>
    <w:rPr>
      <w:rFonts w:ascii="Liberation Serif" w:eastAsia="SimSun" w:hAnsi="Liberation Serif" w:cs="Mangal"/>
      <w:b/>
      <w:bCs/>
      <w:szCs w:val="18"/>
      <w:lang w:eastAsia="zh-CN" w:bidi="hi-IN"/>
    </w:rPr>
  </w:style>
  <w:style w:type="character" w:customStyle="1" w:styleId="CommentaireCar1">
    <w:name w:val="Commentaire Car1"/>
    <w:basedOn w:val="Policepardfaut"/>
    <w:link w:val="Commentaire"/>
    <w:rPr>
      <w:rFonts w:ascii="Arial" w:eastAsia="Andale Sans UI" w:hAnsi="Arial" w:cs="Times New Roman"/>
      <w:sz w:val="20"/>
      <w:szCs w:val="20"/>
      <w:lang w:eastAsia="fr-FR" w:bidi="ar-SA"/>
    </w:rPr>
  </w:style>
  <w:style w:type="character" w:customStyle="1" w:styleId="ObjetducommentaireCar">
    <w:name w:val="Objet du commentaire Car"/>
    <w:basedOn w:val="CommentaireCar1"/>
    <w:link w:val="Objetducommentaire"/>
    <w:uiPriority w:val="99"/>
    <w:semiHidden/>
    <w:rPr>
      <w:rFonts w:ascii="Arial" w:eastAsia="Andale Sans UI" w:hAnsi="Arial" w:cs="Times New Roman"/>
      <w:b/>
      <w:bCs/>
      <w:sz w:val="20"/>
      <w:szCs w:val="18"/>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465</Words>
  <Characters>2562</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CASSAN Francois</dc:creator>
  <cp:lastModifiedBy>KADI Morad</cp:lastModifiedBy>
  <cp:revision>11</cp:revision>
  <cp:lastPrinted>2019-01-23T10:25:00Z</cp:lastPrinted>
  <dcterms:created xsi:type="dcterms:W3CDTF">2025-09-11T17:09:00Z</dcterms:created>
  <dcterms:modified xsi:type="dcterms:W3CDTF">2026-03-26T10:37:00Z</dcterms:modified>
</cp:coreProperties>
</file>